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CA" w:rsidRPr="00FC67CA" w:rsidRDefault="00FC67CA" w:rsidP="00FC67C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FC67CA">
        <w:rPr>
          <w:rFonts w:ascii="inherit" w:eastAsia="Times New Roman" w:hAnsi="inherit" w:cs="Helvetica"/>
          <w:b/>
          <w:caps/>
          <w:color w:val="4D1123"/>
          <w:spacing w:val="75"/>
          <w:sz w:val="28"/>
          <w:szCs w:val="28"/>
          <w:bdr w:val="none" w:sz="0" w:space="0" w:color="auto" w:frame="1"/>
          <w:lang w:eastAsia="ru-RU"/>
        </w:rPr>
        <w:t xml:space="preserve">Порядок действий должностных лиц и персонала организаций при </w:t>
      </w:r>
      <w:bookmarkStart w:id="0" w:name="_GoBack"/>
      <w:bookmarkEnd w:id="0"/>
      <w:r w:rsidRPr="00FC67CA">
        <w:rPr>
          <w:rFonts w:ascii="inherit" w:eastAsia="Times New Roman" w:hAnsi="inherit" w:cs="Helvetica"/>
          <w:b/>
          <w:caps/>
          <w:color w:val="4D1123"/>
          <w:spacing w:val="75"/>
          <w:sz w:val="28"/>
          <w:szCs w:val="28"/>
          <w:bdr w:val="none" w:sz="0" w:space="0" w:color="auto" w:frame="1"/>
          <w:lang w:eastAsia="ru-RU"/>
        </w:rPr>
        <w:t>получении сообщений, содержащих угрозы террористического характера</w:t>
      </w:r>
    </w:p>
    <w:p w:rsidR="00FC67CA" w:rsidRPr="00FC67CA" w:rsidRDefault="00FC67CA" w:rsidP="00FC67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FC67CA">
        <w:rPr>
          <w:rFonts w:ascii="Helvetica" w:eastAsia="Times New Roman" w:hAnsi="Helvetica" w:cs="Helvetica"/>
          <w:noProof/>
          <w:color w:val="337AB7"/>
          <w:sz w:val="27"/>
          <w:szCs w:val="27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1D118003" wp14:editId="24AAEB82">
                <wp:extent cx="304800" cy="304800"/>
                <wp:effectExtent l="0" t="0" r="0" b="0"/>
                <wp:docPr id="1" name="AutoShape 1" descr="https://stavregion.ru/_/gallery/gallery/a5EtJjDEXos_thumbnail_image.jpg">
                  <a:hlinkClick xmlns:a="http://schemas.openxmlformats.org/drawingml/2006/main" r:id="rId5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95CAA" id="AutoShape 1" o:spid="_x0000_s1026" alt="https://stavregion.ru/_/gallery/gallery/a5EtJjDEXos_thumbnail_image.jpg" href="https://stavregion.ru/_/gallery/gallery/a5EtJjDEXos_display.jpg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C67CA" w:rsidRPr="00FC67CA" w:rsidRDefault="00FC67CA" w:rsidP="00FC67C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FC67CA">
        <w:rPr>
          <w:rFonts w:ascii="inherit" w:eastAsia="Times New Roman" w:hAnsi="inherit" w:cs="Helvetica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          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1. Постарайтесь дословно запомнить разговор и зафиксировать его на бумаге.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2. По ходу разговора отметьте пол, возраст звонившего и особенности его речи: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голос (громкий, тихий, низкий, высокий);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темп речи (быстрый, медленный);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произношение (отчётливое, искажённое, с заиканием, шепелявое, акцент, диалект);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манера речи (с издёвкой, развязная, нецензурные выражения).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3. Обязательно отметьте звуковой фон (шум машины, железнодорожного транспорта, звук аппаратуры, голоса, шум леса и т.д.).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4. Характер звонка (городской, междугородный).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5. Зафиксируйте время начала и конца разговора.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 xml:space="preserve">6. В ходе разговора постарайтесь получить ответы на следующие </w:t>
      </w:r>
      <w:proofErr w:type="gramStart"/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вопросы: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куда</w:t>
      </w:r>
      <w:proofErr w:type="gramEnd"/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, кому, по какому телефону звонит этот человек;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какие конкретные требования он выдвигает;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на каких условиях они согласны отказаться от задуманного;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как и когда с ними можно связаться;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кому вы можете или должны сообщить об этом звонке.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 xml:space="preserve">10. При наличии в телефоне функции автоматического определителя 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lastRenderedPageBreak/>
        <w:t>номера запишите определившийся номер телефона в тетрадь, что позволит избежать его случайной утраты.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12. Не вешайте телефонную трубку по окончании разговора.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 xml:space="preserve">Правила обращения с анонимными </w:t>
      </w:r>
      <w:proofErr w:type="gramStart"/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материалами,</w:t>
      </w: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содержащими</w:t>
      </w:r>
      <w:proofErr w:type="gramEnd"/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 xml:space="preserve"> угрозы террористического характера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2. Постарайтесь не оставлять на нём отпечатков своих пальцев.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5. Не расширяйте круг лиц, знакомившихся с содержанием документа.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Рекомендации при работе с почтой, подозрительной</w:t>
      </w: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на заражение биологической субстанцией</w:t>
      </w: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или химическим веществом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Что такое «подозрительное письмо (бандероль)»?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 xml:space="preserve">          Некоторые характерные черты писем (бандеролей), которые </w:t>
      </w:r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lastRenderedPageBreak/>
        <w:t xml:space="preserve">должны удвоить подозрительность, </w:t>
      </w:r>
      <w:proofErr w:type="gramStart"/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включают: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</w:t>
      </w:r>
      <w:proofErr w:type="gramEnd"/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 xml:space="preserve"> вы не ожидали этих писем от кого-то, кого вы знаете;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адресованы кому-либо, кто уже не работает в вашей организации, или имеют ещё какие-то неточности в адресе;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имеют обратного адреса или имеют неправильный обратный адрес;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необычны по весу, размеру, кривые по бокам или необычны по форме;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помечены ограничениями типа «Лично» и «Конфиденциально»;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- в конвертах прощупывается (или торчат) проводки, конверты имеют странный запах или цвет;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- почтовая марка на конверте не соответствует городу и государству в обратном адресе.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 xml:space="preserve">          Что делать, если вы получили подозрительное письмо по </w:t>
      </w:r>
      <w:proofErr w:type="gramStart"/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почте: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</w:t>
      </w:r>
      <w:proofErr w:type="gramEnd"/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 xml:space="preserve"> не вскрывайте конверт;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положите его в пластиковый пакет;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положите туда же лежащие в непосредственной близости с письмом предметы.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 xml:space="preserve">          При получении почты, подозрительной в отношении сибирской </w:t>
      </w:r>
      <w:proofErr w:type="gramStart"/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язвы: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</w:t>
      </w:r>
      <w:proofErr w:type="gramEnd"/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 xml:space="preserve"> не брать в руки подозрительное письмо или бандероль;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сообщить об этом факте руководителю учреждения, который немедленно свяжется с соответствующими службами;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убедиться, что все, кто трогал письмо (бандероль), вымыли руки водой с мылом;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как можно быстрее вымыться под душем с мылом.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 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Действия при обнаружении взрывного устройства</w:t>
      </w: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в почтовом отправлении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 xml:space="preserve">          Основные </w:t>
      </w:r>
      <w:proofErr w:type="gramStart"/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признаки: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</w:t>
      </w:r>
      <w:proofErr w:type="gramEnd"/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 xml:space="preserve"> толщина письма от 3-х мм и выше, при этом в конверте (пакете, бандероли) есть отдельные утолщения;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смещение центра тяжести письма к одной из его сторон;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в конверте перемещающихся предметов либо порошка;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во вложении металлических либо пластмассовых предметов;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на конверте масляных пятен, проколов, металлических кнопок, полосок и т.д.;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необычного запаха (миндаля, жжёной пластмассы и др.);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«тиканье» в бандеролях и посылках.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          Всё это позволяет предполагать наличие в отправлении взрывной начинки.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lastRenderedPageBreak/>
        <w:t xml:space="preserve">          К числу вспомогательных признаков следует </w:t>
      </w:r>
      <w:proofErr w:type="gramStart"/>
      <w:r w:rsidRPr="00FC67C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отнести: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</w:t>
      </w:r>
      <w:proofErr w:type="gramEnd"/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 xml:space="preserve"> особо тщательную заделку письма, бандероли, посылки, в том числе скотчем;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подписей «лично в руки», «вскрыть только лично», «вручить лично», «секретно», «только вам» и т.п.;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отсутствие обратного адреса, фамилии, неразборчивое их написание, вымышленный адрес;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нестандартная упаковка.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          Порядок действий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          Правила поведения при обнаружении ВУ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- Не предпринимать действий, нарушающих состояние подозрительного предмета и других предметов, находящихся с ним в контакте.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допускать заливание водой, засыпку грунтом, покрытие плотными тканями подозрительного предмета.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пользоваться электро-, радиоаппаратурой, переговорными устройствами, рацией вблизи подозрительного предмета.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оказывать теплового, звукового, светового, механического воздействия на взрывоопасный предмет.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прикасаться к взрывоопасному предмету, находясь в одежде из синтетических волокон.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 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 xml:space="preserve">Рекомендуемые зоны эвакуации (и </w:t>
      </w:r>
      <w:proofErr w:type="gramStart"/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оцепления)</w:t>
      </w:r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при</w:t>
      </w:r>
      <w:proofErr w:type="gramEnd"/>
      <w:r w:rsidRPr="00FC67C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 xml:space="preserve"> обнаружении взрывного устройства или предмета, подозрительного на взрывное устройство</w:t>
      </w:r>
    </w:p>
    <w:p w:rsidR="00FC67CA" w:rsidRPr="00FC67CA" w:rsidRDefault="00FC67CA" w:rsidP="00FC67C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№ п/п Взрывное устройство или предмет, радиус зоны оцепления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1. Граната РГД-5 50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2. Граната Ф-1 200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3. Тротиловая шашка – 200 г 45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4. Тротиловая шашка – 400 г 55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5. Пивная банка – 0,33 л 60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6. Мина – МОН-50 85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7. Чемодан (кейс) 230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lastRenderedPageBreak/>
        <w:t>8. Дорожный чемодан 250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9. Автомобиль «Жигули» 460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10. Автомобиль «Волга» 580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11. Микроавтобус 920 м</w:t>
      </w:r>
      <w:r w:rsidRPr="00FC67C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12. Грузовик-фургон 1240 м</w:t>
      </w:r>
    </w:p>
    <w:p w:rsidR="00B05CAE" w:rsidRDefault="00B05CAE" w:rsidP="00FC67CA"/>
    <w:sectPr w:rsidR="00B0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70EB"/>
    <w:multiLevelType w:val="multilevel"/>
    <w:tmpl w:val="618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2B"/>
    <w:rsid w:val="004F592B"/>
    <w:rsid w:val="00B05CAE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94E0C-F427-49E2-B7AB-B7C93627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6D6D6"/>
          </w:divBdr>
          <w:divsChild>
            <w:div w:id="19431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vregion.ru/_/gallery/gallery/a5EtJjDEXos_display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Шабанова</dc:creator>
  <cp:keywords/>
  <dc:description/>
  <cp:lastModifiedBy>Светлана Шабанова</cp:lastModifiedBy>
  <cp:revision>3</cp:revision>
  <dcterms:created xsi:type="dcterms:W3CDTF">2025-07-11T14:09:00Z</dcterms:created>
  <dcterms:modified xsi:type="dcterms:W3CDTF">2025-07-11T14:11:00Z</dcterms:modified>
</cp:coreProperties>
</file>